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813B9" w14:textId="77777777" w:rsidR="00E15A40" w:rsidRDefault="00F856DA">
      <w:pPr>
        <w:rPr>
          <w:rFonts w:ascii="Arial" w:eastAsia="Arial" w:hAnsi="Arial" w:cs="Arial"/>
          <w:b/>
          <w:sz w:val="36"/>
          <w:szCs w:val="36"/>
        </w:rPr>
      </w:pPr>
      <w:r>
        <w:rPr>
          <w:rFonts w:ascii="Arial" w:eastAsia="Arial" w:hAnsi="Arial" w:cs="Arial"/>
          <w:b/>
          <w:sz w:val="36"/>
          <w:szCs w:val="36"/>
        </w:rPr>
        <w:t>Framework Schedule 4 (Framework Management)</w:t>
      </w:r>
    </w:p>
    <w:p w14:paraId="00797D6C" w14:textId="77777777" w:rsidR="00E15A40" w:rsidRDefault="00F856DA">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4FCD4A36" w14:textId="77777777" w:rsidR="00E15A40" w:rsidRDefault="00F856DA">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2"/>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E15A40" w14:paraId="77196E4F" w14:textId="77777777">
        <w:tc>
          <w:tcPr>
            <w:tcW w:w="2928" w:type="dxa"/>
            <w:shd w:val="clear" w:color="auto" w:fill="auto"/>
          </w:tcPr>
          <w:p w14:paraId="11A4D961" w14:textId="77777777" w:rsidR="00E15A40" w:rsidRDefault="00F856D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7C34226B" w14:textId="77777777" w:rsidR="00E15A40" w:rsidRDefault="00F856DA">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E15A40" w14:paraId="68BC4B25" w14:textId="77777777">
        <w:tc>
          <w:tcPr>
            <w:tcW w:w="2928" w:type="dxa"/>
            <w:shd w:val="clear" w:color="auto" w:fill="auto"/>
          </w:tcPr>
          <w:p w14:paraId="25A9CE41" w14:textId="77777777" w:rsidR="00E15A40" w:rsidRDefault="00F856DA">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7E5A4955" w14:textId="77777777" w:rsidR="00E15A40" w:rsidRDefault="00F856DA">
            <w:pPr>
              <w:numPr>
                <w:ilvl w:val="0"/>
                <w:numId w:val="1"/>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w:t>
            </w:r>
          </w:p>
        </w:tc>
      </w:tr>
    </w:tbl>
    <w:p w14:paraId="1A9BC1A8" w14:textId="77777777" w:rsidR="00E15A40" w:rsidRDefault="00F856DA">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6460FD21"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77DBD68B"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47C2807E"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14:paraId="0BC82E21" w14:textId="77777777" w:rsidR="00E15A40" w:rsidRDefault="00F856DA">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199E5EFD" w14:textId="77777777" w:rsidR="00E15A40" w:rsidRDefault="00F856DA">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6BAECFD2"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w:t>
      </w:r>
      <w:r>
        <w:rPr>
          <w:rFonts w:ascii="Arial" w:eastAsia="Arial" w:hAnsi="Arial" w:cs="Arial"/>
          <w:color w:val="000000"/>
          <w:sz w:val="24"/>
          <w:szCs w:val="24"/>
        </w:rPr>
        <w:t xml:space="preserve">in their absence. </w:t>
      </w:r>
    </w:p>
    <w:p w14:paraId="2C67A92C"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1FD1B675"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A governance structure will be agreed between the Parties as soon as reasonably </w:t>
      </w:r>
      <w:r>
        <w:rPr>
          <w:rFonts w:ascii="Arial" w:eastAsia="Arial" w:hAnsi="Arial" w:cs="Arial"/>
          <w:color w:val="000000"/>
          <w:sz w:val="24"/>
          <w:szCs w:val="24"/>
        </w:rPr>
        <w:t>practicable following the Framework Start Date.</w:t>
      </w:r>
    </w:p>
    <w:p w14:paraId="4B516631"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 and come into effect within two weeks from receipt by the Supplier of the draft Supplier Action P</w:t>
      </w:r>
      <w:r>
        <w:rPr>
          <w:rFonts w:ascii="Arial" w:eastAsia="Arial" w:hAnsi="Arial" w:cs="Arial"/>
          <w:color w:val="000000"/>
          <w:sz w:val="24"/>
          <w:szCs w:val="24"/>
        </w:rPr>
        <w:t xml:space="preserve">lan. </w:t>
      </w:r>
    </w:p>
    <w:p w14:paraId="0CCA4EC7" w14:textId="77777777" w:rsidR="00E15A40" w:rsidRDefault="00F856DA">
      <w:pPr>
        <w:rPr>
          <w:rFonts w:ascii="Arial" w:eastAsia="Arial" w:hAnsi="Arial" w:cs="Arial"/>
          <w:sz w:val="24"/>
          <w:szCs w:val="24"/>
        </w:rPr>
      </w:pPr>
      <w:bookmarkStart w:id="1" w:name="_heading=h.30j0zll" w:colFirst="0" w:colLast="0"/>
      <w:bookmarkEnd w:id="1"/>
      <w:r>
        <w:br w:type="page"/>
      </w:r>
    </w:p>
    <w:p w14:paraId="483CEE20" w14:textId="77777777" w:rsidR="00E15A40" w:rsidRDefault="00E15A4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6488268D"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w:t>
      </w:r>
      <w:r>
        <w:rPr>
          <w:rFonts w:ascii="Arial" w:eastAsia="Arial" w:hAnsi="Arial" w:cs="Arial"/>
          <w:color w:val="000000"/>
          <w:sz w:val="24"/>
          <w:szCs w:val="24"/>
        </w:rPr>
        <w:t xml:space="preserv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563BE2C3"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w:t>
      </w:r>
      <w:r>
        <w:rPr>
          <w:rFonts w:ascii="Arial" w:eastAsia="Arial" w:hAnsi="Arial" w:cs="Arial"/>
          <w:color w:val="000000"/>
          <w:sz w:val="24"/>
          <w:szCs w:val="24"/>
        </w:rPr>
        <w:t>Supplier Action Plan as updated from time to time.</w:t>
      </w:r>
    </w:p>
    <w:p w14:paraId="52773020"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417E1AEF"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1DDC1E77"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20897454"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54407DBA"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49241FC9"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w:t>
      </w:r>
      <w:r>
        <w:rPr>
          <w:rFonts w:ascii="Arial" w:eastAsia="Arial" w:hAnsi="Arial" w:cs="Arial"/>
          <w:color w:val="000000"/>
          <w:sz w:val="24"/>
          <w:szCs w:val="24"/>
        </w:rPr>
        <w:t xml:space="preserve"> should participate in further competitions when identified as part of the final bidder list. Failure to bid on further competitions without an acceptable reason may result in the Supplier being suspended from the Framework, in accordance with Clause 10.7 </w:t>
      </w:r>
      <w:r>
        <w:rPr>
          <w:rFonts w:ascii="Arial" w:eastAsia="Arial" w:hAnsi="Arial" w:cs="Arial"/>
          <w:color w:val="000000"/>
          <w:sz w:val="24"/>
          <w:szCs w:val="24"/>
        </w:rPr>
        <w:t xml:space="preserve">(Partially ending and suspending the contract), for a period as decided by CCS. </w:t>
      </w:r>
    </w:p>
    <w:p w14:paraId="09E44C59" w14:textId="77777777" w:rsidR="00E15A40" w:rsidRDefault="00F856DA">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14:paraId="16519C25"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w:t>
      </w:r>
      <w:r>
        <w:rPr>
          <w:rFonts w:ascii="Arial" w:eastAsia="Arial" w:hAnsi="Arial" w:cs="Arial"/>
          <w:color w:val="000000"/>
          <w:sz w:val="24"/>
          <w:szCs w:val="24"/>
        </w:rPr>
        <w:t>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53DFF88E"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w:t>
      </w:r>
      <w:r>
        <w:rPr>
          <w:rFonts w:ascii="Arial" w:eastAsia="Arial" w:hAnsi="Arial" w:cs="Arial"/>
          <w:color w:val="000000"/>
          <w:sz w:val="24"/>
          <w:szCs w:val="24"/>
        </w:rPr>
        <w:t>h Supplier Review Meeting shall be set by CCS and sent to the Supplier in advance.</w:t>
      </w:r>
    </w:p>
    <w:p w14:paraId="524F3381"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4377C67D"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Supplier Review Meetings shall be attended, as a minimum, by CCS Representative(s) and the Supplier Framework Manager.</w:t>
      </w:r>
    </w:p>
    <w:p w14:paraId="65066F17" w14:textId="77777777" w:rsidR="00E15A40" w:rsidRDefault="00E15A4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42E0C2B6" w14:textId="77777777" w:rsidR="00E15A40" w:rsidRDefault="00F856DA">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14:paraId="439A9589" w14:textId="77777777" w:rsidR="00E15A40" w:rsidRDefault="00F856DA">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14:paraId="1C67854F" w14:textId="77777777" w:rsidR="00E15A40" w:rsidRDefault="00E15A40">
      <w:pPr>
        <w:keepNext/>
        <w:tabs>
          <w:tab w:val="left" w:pos="1134"/>
        </w:tabs>
        <w:spacing w:before="120" w:after="120" w:line="240" w:lineRule="auto"/>
        <w:rPr>
          <w:rFonts w:ascii="Arial" w:eastAsia="Arial" w:hAnsi="Arial" w:cs="Arial"/>
          <w:sz w:val="24"/>
          <w:szCs w:val="24"/>
        </w:rPr>
      </w:pPr>
    </w:p>
    <w:tbl>
      <w:tblPr>
        <w:tblStyle w:val="1"/>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E15A40" w14:paraId="2680FD58" w14:textId="77777777">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71E7B0"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D2296D"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8BEFF3"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E15A40" w14:paraId="06048F0B" w14:textId="77777777">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14:paraId="3D83D80F" w14:textId="77777777" w:rsidR="00E15A40" w:rsidRDefault="00E15A40">
            <w:pPr>
              <w:keepNext/>
              <w:spacing w:before="80" w:after="80"/>
              <w:ind w:left="142"/>
              <w:rPr>
                <w:rFonts w:ascii="Arial" w:eastAsia="Arial" w:hAnsi="Arial" w:cs="Arial"/>
                <w:sz w:val="24"/>
                <w:szCs w:val="24"/>
              </w:rPr>
            </w:pPr>
          </w:p>
        </w:tc>
      </w:tr>
      <w:tr w:rsidR="00E15A40" w14:paraId="57ED54E9"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77F0596E" w14:textId="17C291F8" w:rsidR="00E15A40" w:rsidRDefault="00F856DA">
            <w:pPr>
              <w:spacing w:before="80" w:after="80" w:line="240" w:lineRule="auto"/>
              <w:rPr>
                <w:rFonts w:ascii="Arial" w:eastAsia="Arial" w:hAnsi="Arial" w:cs="Arial"/>
                <w:sz w:val="24"/>
                <w:szCs w:val="24"/>
              </w:rPr>
            </w:pPr>
            <w:r>
              <w:rPr>
                <w:rFonts w:ascii="Arial" w:eastAsia="Arial" w:hAnsi="Arial" w:cs="Arial"/>
                <w:sz w:val="24"/>
                <w:szCs w:val="24"/>
              </w:rPr>
              <w:t xml:space="preserve">Supplier must sign and return Call-Off Contract to Buyer within </w:t>
            </w:r>
            <w:r w:rsidR="004A1692">
              <w:rPr>
                <w:rFonts w:ascii="Arial" w:eastAsia="Arial" w:hAnsi="Arial" w:cs="Arial"/>
                <w:sz w:val="24"/>
                <w:szCs w:val="24"/>
              </w:rPr>
              <w:t>10</w:t>
            </w:r>
            <w:r>
              <w:rPr>
                <w:rFonts w:ascii="Arial" w:eastAsia="Arial" w:hAnsi="Arial" w:cs="Arial"/>
                <w:sz w:val="24"/>
                <w:szCs w:val="24"/>
              </w:rPr>
              <w:t xml:space="preserve"> Working Days of receipt.</w:t>
            </w:r>
          </w:p>
        </w:tc>
        <w:tc>
          <w:tcPr>
            <w:tcW w:w="1476" w:type="dxa"/>
            <w:tcBorders>
              <w:top w:val="single" w:sz="4" w:space="0" w:color="000000"/>
              <w:left w:val="single" w:sz="4" w:space="0" w:color="000000"/>
              <w:bottom w:val="single" w:sz="4" w:space="0" w:color="000000"/>
              <w:right w:val="single" w:sz="4" w:space="0" w:color="000000"/>
            </w:tcBorders>
            <w:vAlign w:val="center"/>
          </w:tcPr>
          <w:p w14:paraId="5AA3D941" w14:textId="77777777" w:rsidR="00E15A40" w:rsidRDefault="00F856DA">
            <w:pPr>
              <w:keepNext/>
              <w:spacing w:before="80" w:after="80" w:line="240" w:lineRule="auto"/>
              <w:ind w:left="142"/>
              <w:rPr>
                <w:rFonts w:ascii="Arial" w:eastAsia="Arial" w:hAnsi="Arial" w:cs="Arial"/>
                <w:sz w:val="24"/>
                <w:szCs w:val="24"/>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5AD27C09" w14:textId="77777777" w:rsidR="00E15A40" w:rsidRDefault="00F856DA">
            <w:pPr>
              <w:spacing w:before="80" w:after="80"/>
              <w:rPr>
                <w:rFonts w:ascii="Arial" w:eastAsia="Arial" w:hAnsi="Arial" w:cs="Arial"/>
                <w:b/>
                <w:sz w:val="24"/>
                <w:szCs w:val="24"/>
              </w:rPr>
            </w:pPr>
            <w:r>
              <w:rPr>
                <w:rFonts w:ascii="Arial" w:eastAsia="Arial" w:hAnsi="Arial" w:cs="Arial"/>
                <w:sz w:val="24"/>
                <w:szCs w:val="24"/>
              </w:rPr>
              <w:t>Confirmation of receipt and time of receipt by the Authority</w:t>
            </w:r>
          </w:p>
        </w:tc>
      </w:tr>
      <w:tr w:rsidR="00E15A40" w14:paraId="77BDE8E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46DF6136" w14:textId="77777777" w:rsidR="00E15A40" w:rsidRDefault="00F856DA">
            <w:pPr>
              <w:spacing w:before="80" w:after="80"/>
              <w:rPr>
                <w:rFonts w:ascii="Arial" w:eastAsia="Arial" w:hAnsi="Arial" w:cs="Arial"/>
                <w:sz w:val="24"/>
                <w:szCs w:val="24"/>
                <w:highlight w:val="yellow"/>
              </w:rPr>
            </w:pPr>
            <w:r>
              <w:rPr>
                <w:rFonts w:ascii="Arial" w:eastAsia="Arial" w:hAnsi="Arial" w:cs="Arial"/>
                <w:sz w:val="24"/>
                <w:szCs w:val="24"/>
              </w:rPr>
              <w:t>MI returns: All MI returns to be returned to CCS by the 7</w:t>
            </w:r>
            <w:r>
              <w:rPr>
                <w:rFonts w:ascii="Arial" w:eastAsia="Arial" w:hAnsi="Arial" w:cs="Arial"/>
                <w:sz w:val="24"/>
                <w:szCs w:val="24"/>
                <w:vertAlign w:val="superscript"/>
              </w:rPr>
              <w:t>th</w:t>
            </w:r>
            <w:r>
              <w:rPr>
                <w:rFonts w:ascii="Arial" w:eastAsia="Arial" w:hAnsi="Arial" w:cs="Arial"/>
                <w:sz w:val="24"/>
                <w:szCs w:val="24"/>
              </w:rPr>
              <w:t xml:space="preserve"> Working Day of each month or the las</w:t>
            </w:r>
            <w:r>
              <w:rPr>
                <w:rFonts w:ascii="Arial" w:eastAsia="Arial" w:hAnsi="Arial" w:cs="Arial"/>
                <w:sz w:val="24"/>
                <w:szCs w:val="24"/>
              </w:rPr>
              <w:t>t working day prior to the 7th (e.g. weekends, Bank Holidays etc)</w:t>
            </w:r>
          </w:p>
        </w:tc>
        <w:tc>
          <w:tcPr>
            <w:tcW w:w="1476" w:type="dxa"/>
            <w:tcBorders>
              <w:top w:val="single" w:sz="4" w:space="0" w:color="000000"/>
              <w:left w:val="single" w:sz="4" w:space="0" w:color="000000"/>
              <w:bottom w:val="single" w:sz="4" w:space="0" w:color="000000"/>
              <w:right w:val="single" w:sz="4" w:space="0" w:color="000000"/>
            </w:tcBorders>
            <w:vAlign w:val="center"/>
          </w:tcPr>
          <w:p w14:paraId="02A1240C" w14:textId="77777777" w:rsidR="00E15A40" w:rsidRDefault="00F856DA">
            <w:pPr>
              <w:keepNext/>
              <w:spacing w:before="80" w:after="80"/>
              <w:ind w:left="142"/>
              <w:rPr>
                <w:rFonts w:ascii="Arial" w:eastAsia="Arial" w:hAnsi="Arial" w:cs="Arial"/>
                <w:sz w:val="24"/>
                <w:szCs w:val="24"/>
                <w:highlight w:val="green"/>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7AF08226" w14:textId="77777777" w:rsidR="00E15A40" w:rsidRDefault="00F856DA">
            <w:pPr>
              <w:spacing w:before="80" w:after="80"/>
              <w:rPr>
                <w:rFonts w:ascii="Arial" w:eastAsia="Arial" w:hAnsi="Arial" w:cs="Arial"/>
                <w:b/>
                <w:sz w:val="24"/>
                <w:szCs w:val="24"/>
              </w:rPr>
            </w:pPr>
            <w:r>
              <w:rPr>
                <w:rFonts w:ascii="Arial" w:eastAsia="Arial" w:hAnsi="Arial" w:cs="Arial"/>
                <w:sz w:val="24"/>
                <w:szCs w:val="24"/>
              </w:rPr>
              <w:t>Confirmation of receipt and time of receipt by the Authority (as evidenced within CCS MI system)</w:t>
            </w:r>
          </w:p>
        </w:tc>
      </w:tr>
      <w:tr w:rsidR="00E15A40" w14:paraId="53EB348B"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4B9E16C7" w14:textId="77777777" w:rsidR="00E15A40" w:rsidRDefault="00F856DA">
            <w:pPr>
              <w:spacing w:before="80" w:after="80"/>
              <w:rPr>
                <w:rFonts w:ascii="Arial" w:eastAsia="Arial" w:hAnsi="Arial" w:cs="Arial"/>
                <w:sz w:val="24"/>
                <w:szCs w:val="24"/>
                <w:highlight w:val="yellow"/>
              </w:rPr>
            </w:pPr>
            <w:r>
              <w:rPr>
                <w:rFonts w:ascii="Arial" w:eastAsia="Arial" w:hAnsi="Arial" w:cs="Arial"/>
                <w:sz w:val="24"/>
                <w:szCs w:val="24"/>
              </w:rPr>
              <w:t>All undisputed invoices to be paid within 30 calendar days of issue</w:t>
            </w:r>
          </w:p>
        </w:tc>
        <w:tc>
          <w:tcPr>
            <w:tcW w:w="1476" w:type="dxa"/>
            <w:tcBorders>
              <w:top w:val="single" w:sz="4" w:space="0" w:color="000000"/>
              <w:left w:val="single" w:sz="4" w:space="0" w:color="000000"/>
              <w:bottom w:val="single" w:sz="4" w:space="0" w:color="000000"/>
              <w:right w:val="single" w:sz="4" w:space="0" w:color="000000"/>
            </w:tcBorders>
            <w:vAlign w:val="center"/>
          </w:tcPr>
          <w:p w14:paraId="0ADCB72C"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506BD585" w14:textId="77777777" w:rsidR="00E15A40" w:rsidRDefault="00F856DA">
            <w:pPr>
              <w:spacing w:before="80" w:after="80"/>
              <w:rPr>
                <w:rFonts w:ascii="Arial" w:eastAsia="Arial" w:hAnsi="Arial" w:cs="Arial"/>
                <w:sz w:val="24"/>
                <w:szCs w:val="24"/>
                <w:highlight w:val="yellow"/>
              </w:rPr>
            </w:pPr>
            <w:r>
              <w:rPr>
                <w:rFonts w:ascii="Arial" w:eastAsia="Arial" w:hAnsi="Arial" w:cs="Arial"/>
                <w:sz w:val="24"/>
                <w:szCs w:val="24"/>
              </w:rPr>
              <w:t>Confirmation of receipt and time of receipt by CCS (as evidenced within the CCS syste</w:t>
            </w:r>
            <w:r>
              <w:rPr>
                <w:rFonts w:ascii="Arial" w:eastAsia="Arial" w:hAnsi="Arial" w:cs="Arial"/>
                <w:sz w:val="24"/>
                <w:szCs w:val="24"/>
              </w:rPr>
              <w:t>m)</w:t>
            </w:r>
          </w:p>
        </w:tc>
      </w:tr>
      <w:tr w:rsidR="00E15A40" w14:paraId="295FEBE8"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14BA18D" w14:textId="77777777" w:rsidR="00E15A40" w:rsidRDefault="00F856DA">
            <w:pPr>
              <w:spacing w:before="80" w:after="80"/>
              <w:rPr>
                <w:rFonts w:ascii="Arial" w:eastAsia="Arial" w:hAnsi="Arial" w:cs="Arial"/>
                <w:sz w:val="24"/>
                <w:szCs w:val="24"/>
              </w:rPr>
            </w:pPr>
            <w:r>
              <w:rPr>
                <w:rFonts w:ascii="Arial" w:eastAsia="Arial" w:hAnsi="Arial" w:cs="Arial"/>
                <w:sz w:val="24"/>
                <w:szCs w:val="24"/>
              </w:rPr>
              <w:t>Supplier self-audit certificate to be issued to CCS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vAlign w:val="center"/>
          </w:tcPr>
          <w:p w14:paraId="4D8144A9"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7333E833"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E15A40" w14:paraId="33DA8F4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5FE9F507" w14:textId="77777777" w:rsidR="00E15A40" w:rsidRDefault="00F856DA">
            <w:pPr>
              <w:spacing w:before="80" w:after="80"/>
              <w:rPr>
                <w:rFonts w:ascii="Arial" w:eastAsia="Arial" w:hAnsi="Arial" w:cs="Arial"/>
                <w:sz w:val="24"/>
                <w:szCs w:val="24"/>
              </w:rPr>
            </w:pPr>
            <w:r>
              <w:rPr>
                <w:rFonts w:ascii="Arial" w:eastAsia="Arial" w:hAnsi="Arial" w:cs="Arial"/>
                <w:sz w:val="24"/>
                <w:szCs w:val="24"/>
              </w:rPr>
              <w:t>Actions identified in an Audit Report to be delivered by the dates set out in the Audit Report</w:t>
            </w:r>
          </w:p>
        </w:tc>
        <w:tc>
          <w:tcPr>
            <w:tcW w:w="1476" w:type="dxa"/>
            <w:tcBorders>
              <w:top w:val="single" w:sz="4" w:space="0" w:color="000000"/>
              <w:left w:val="single" w:sz="4" w:space="0" w:color="000000"/>
              <w:bottom w:val="single" w:sz="4" w:space="0" w:color="000000"/>
              <w:right w:val="single" w:sz="4" w:space="0" w:color="000000"/>
            </w:tcBorders>
            <w:vAlign w:val="center"/>
          </w:tcPr>
          <w:p w14:paraId="2D69EDE7"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53D88105"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Confirmation by CCS of completion of the actions by the dates identified in the Audit Report</w:t>
            </w:r>
          </w:p>
        </w:tc>
      </w:tr>
      <w:tr w:rsidR="00E15A40" w14:paraId="49218E41"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62B89227" w14:textId="77777777" w:rsidR="00E15A40" w:rsidRDefault="00F856DA">
            <w:pPr>
              <w:spacing w:before="80" w:after="80"/>
              <w:rPr>
                <w:rFonts w:ascii="Arial" w:eastAsia="Arial" w:hAnsi="Arial" w:cs="Arial"/>
                <w:sz w:val="24"/>
                <w:szCs w:val="24"/>
              </w:rPr>
            </w:pPr>
            <w:r>
              <w:rPr>
                <w:rFonts w:ascii="Arial" w:eastAsia="Arial" w:hAnsi="Arial" w:cs="Arial"/>
                <w:sz w:val="24"/>
                <w:szCs w:val="24"/>
              </w:rPr>
              <w:t>The Supplier to deliver against the Supplier Action Plan to derive further cost savings over the Framework Period via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14:paraId="5DCBD4CF"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6FAFDF97"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Action Plan</w:t>
            </w:r>
          </w:p>
        </w:tc>
      </w:tr>
      <w:tr w:rsidR="00E15A40" w14:paraId="465877A4"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275B2AC2" w14:textId="77777777" w:rsidR="00E15A40" w:rsidRDefault="00F856DA">
            <w:pPr>
              <w:spacing w:before="80" w:after="80"/>
              <w:rPr>
                <w:rFonts w:ascii="Arial" w:eastAsia="Arial" w:hAnsi="Arial" w:cs="Arial"/>
                <w:sz w:val="24"/>
                <w:szCs w:val="24"/>
              </w:rPr>
            </w:pPr>
            <w:r>
              <w:rPr>
                <w:rFonts w:ascii="Arial" w:eastAsia="Arial" w:hAnsi="Arial" w:cs="Arial"/>
                <w:sz w:val="24"/>
                <w:szCs w:val="24"/>
              </w:rPr>
              <w:lastRenderedPageBreak/>
              <w:t>The Supplier to deliver against the Supplier Action Plan to derive further cost savings over the Framework Period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14:paraId="6F841177"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389EFCE4"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Action Plan</w:t>
            </w:r>
          </w:p>
        </w:tc>
      </w:tr>
      <w:tr w:rsidR="00E15A40" w14:paraId="7DDE3A0E"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4AF2ACFD" w14:textId="77777777" w:rsidR="00E15A40" w:rsidRDefault="00F856DA">
            <w:pPr>
              <w:spacing w:before="80" w:after="80"/>
              <w:rPr>
                <w:rFonts w:ascii="Arial" w:eastAsia="Arial" w:hAnsi="Arial" w:cs="Arial"/>
                <w:sz w:val="24"/>
                <w:szCs w:val="24"/>
              </w:rPr>
            </w:pPr>
            <w:r>
              <w:rPr>
                <w:rFonts w:ascii="Arial" w:eastAsia="Arial" w:hAnsi="Arial" w:cs="Arial"/>
                <w:sz w:val="24"/>
                <w:szCs w:val="24"/>
              </w:rPr>
              <w:t>Goods and/or Services to be provided under Call Off Contracts to the satisfaction of Buyers</w:t>
            </w:r>
          </w:p>
        </w:tc>
        <w:tc>
          <w:tcPr>
            <w:tcW w:w="1476" w:type="dxa"/>
            <w:tcBorders>
              <w:top w:val="single" w:sz="4" w:space="0" w:color="000000"/>
              <w:left w:val="single" w:sz="4" w:space="0" w:color="000000"/>
              <w:bottom w:val="single" w:sz="4" w:space="0" w:color="000000"/>
              <w:right w:val="single" w:sz="4" w:space="0" w:color="000000"/>
            </w:tcBorders>
            <w:vAlign w:val="center"/>
          </w:tcPr>
          <w:p w14:paraId="5AE33AA7"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5A4E0337"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Confirmation by CCS of the Supplier’s performance ag</w:t>
            </w:r>
            <w:r>
              <w:rPr>
                <w:rFonts w:ascii="Arial" w:eastAsia="Arial" w:hAnsi="Arial" w:cs="Arial"/>
                <w:sz w:val="24"/>
                <w:szCs w:val="24"/>
              </w:rPr>
              <w:t>ainst customer satisfaction surveys</w:t>
            </w:r>
          </w:p>
        </w:tc>
      </w:tr>
      <w:tr w:rsidR="00E15A40" w14:paraId="0415F319"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51662C90" w14:textId="77777777" w:rsidR="00E15A40" w:rsidRDefault="00F856DA">
            <w:pPr>
              <w:spacing w:after="240" w:line="240" w:lineRule="auto"/>
              <w:rPr>
                <w:rFonts w:ascii="Arial" w:eastAsia="Arial" w:hAnsi="Arial" w:cs="Arial"/>
                <w:sz w:val="24"/>
                <w:szCs w:val="24"/>
              </w:rPr>
            </w:pPr>
            <w:r>
              <w:rPr>
                <w:rFonts w:ascii="Arial" w:eastAsia="Arial" w:hAnsi="Arial" w:cs="Arial"/>
                <w:b/>
                <w:sz w:val="24"/>
                <w:szCs w:val="24"/>
              </w:rPr>
              <w:t>BILLING</w:t>
            </w:r>
          </w:p>
          <w:p w14:paraId="57C8655B"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Customer bills are issued on time according to frequency requested by the customer</w:t>
            </w:r>
          </w:p>
          <w:p w14:paraId="3DE5341E"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Aged monthly billing more than 3 months old</w:t>
            </w:r>
          </w:p>
          <w:p w14:paraId="1D0D377F"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Total invoices unbilled</w:t>
            </w:r>
          </w:p>
          <w:p w14:paraId="1F16B963" w14:textId="77777777" w:rsidR="00E15A40" w:rsidRDefault="00E15A40">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14:paraId="45D2D1EC" w14:textId="77777777" w:rsidR="00E15A40" w:rsidRDefault="00F856DA">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98-100%</w:t>
            </w:r>
          </w:p>
          <w:p w14:paraId="43CC2519" w14:textId="77777777" w:rsidR="00E15A40" w:rsidRDefault="00E15A40">
            <w:pPr>
              <w:keepNext/>
              <w:spacing w:before="80" w:after="80" w:line="240" w:lineRule="auto"/>
              <w:ind w:left="142"/>
              <w:jc w:val="both"/>
              <w:rPr>
                <w:rFonts w:ascii="Arial" w:eastAsia="Arial" w:hAnsi="Arial" w:cs="Arial"/>
                <w:sz w:val="24"/>
                <w:szCs w:val="24"/>
              </w:rPr>
            </w:pPr>
          </w:p>
          <w:p w14:paraId="09B80C2C" w14:textId="77777777" w:rsidR="00E15A40" w:rsidRDefault="00F856DA">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0% - 5%</w:t>
            </w:r>
          </w:p>
          <w:p w14:paraId="74B7B086" w14:textId="77777777" w:rsidR="00E15A40" w:rsidRDefault="00E15A40">
            <w:pPr>
              <w:keepNext/>
              <w:spacing w:before="80" w:after="80"/>
              <w:ind w:left="142"/>
              <w:rPr>
                <w:rFonts w:ascii="Arial" w:eastAsia="Arial" w:hAnsi="Arial" w:cs="Arial"/>
                <w:sz w:val="24"/>
                <w:szCs w:val="24"/>
              </w:rPr>
            </w:pPr>
          </w:p>
          <w:p w14:paraId="45FBFBE4"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98% - 100%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6EFB335D" w14:textId="77777777" w:rsidR="00E15A40" w:rsidRDefault="00E15A40">
            <w:pPr>
              <w:spacing w:after="240" w:line="240" w:lineRule="auto"/>
              <w:rPr>
                <w:rFonts w:ascii="Arial" w:eastAsia="Arial" w:hAnsi="Arial" w:cs="Arial"/>
                <w:sz w:val="24"/>
                <w:szCs w:val="24"/>
              </w:rPr>
            </w:pPr>
          </w:p>
          <w:p w14:paraId="35EE7950"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18B0B5BA"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4E3854DF"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621CC09B" w14:textId="77777777" w:rsidR="00E15A40" w:rsidRDefault="00E15A40">
            <w:pPr>
              <w:spacing w:before="80" w:after="80"/>
              <w:rPr>
                <w:rFonts w:ascii="Arial" w:eastAsia="Arial" w:hAnsi="Arial" w:cs="Arial"/>
                <w:sz w:val="24"/>
                <w:szCs w:val="24"/>
              </w:rPr>
            </w:pPr>
          </w:p>
        </w:tc>
      </w:tr>
      <w:tr w:rsidR="00E15A40" w14:paraId="7A250A65"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14:paraId="591BB210" w14:textId="77777777" w:rsidR="00E15A40" w:rsidRDefault="00F856DA">
            <w:pPr>
              <w:rPr>
                <w:rFonts w:ascii="Arial" w:eastAsia="Arial" w:hAnsi="Arial" w:cs="Arial"/>
                <w:b/>
                <w:sz w:val="24"/>
                <w:szCs w:val="24"/>
              </w:rPr>
            </w:pPr>
            <w:r>
              <w:rPr>
                <w:rFonts w:ascii="Arial" w:eastAsia="Arial" w:hAnsi="Arial" w:cs="Arial"/>
                <w:b/>
                <w:sz w:val="24"/>
                <w:szCs w:val="24"/>
              </w:rPr>
              <w:t>CUSTOMER QUERIES</w:t>
            </w:r>
          </w:p>
          <w:p w14:paraId="168B018E" w14:textId="77777777" w:rsidR="00E15A40" w:rsidRDefault="00F856DA">
            <w:pPr>
              <w:rPr>
                <w:rFonts w:ascii="Arial" w:eastAsia="Arial" w:hAnsi="Arial" w:cs="Arial"/>
                <w:sz w:val="24"/>
                <w:szCs w:val="24"/>
              </w:rPr>
            </w:pPr>
            <w:r>
              <w:rPr>
                <w:rFonts w:ascii="Arial" w:eastAsia="Arial" w:hAnsi="Arial" w:cs="Arial"/>
                <w:sz w:val="24"/>
                <w:szCs w:val="24"/>
              </w:rPr>
              <w:t>Percentage (%) of accounts in query</w:t>
            </w:r>
          </w:p>
          <w:p w14:paraId="6DC77415" w14:textId="77777777" w:rsidR="00E15A40" w:rsidRDefault="00F856DA">
            <w:pPr>
              <w:rPr>
                <w:rFonts w:ascii="Arial" w:eastAsia="Arial" w:hAnsi="Arial" w:cs="Arial"/>
                <w:sz w:val="24"/>
                <w:szCs w:val="24"/>
              </w:rPr>
            </w:pPr>
            <w:r>
              <w:rPr>
                <w:rFonts w:ascii="Arial" w:eastAsia="Arial" w:hAnsi="Arial" w:cs="Arial"/>
                <w:sz w:val="24"/>
                <w:szCs w:val="24"/>
              </w:rPr>
              <w:t>Percentage (%) of accounts in query more than 3 months old</w:t>
            </w:r>
          </w:p>
          <w:p w14:paraId="17BD3F1F" w14:textId="77777777" w:rsidR="00E15A40" w:rsidRDefault="00F856DA">
            <w:pPr>
              <w:rPr>
                <w:rFonts w:ascii="Arial" w:eastAsia="Arial" w:hAnsi="Arial" w:cs="Arial"/>
                <w:sz w:val="24"/>
                <w:szCs w:val="24"/>
              </w:rPr>
            </w:pPr>
            <w:r>
              <w:rPr>
                <w:rFonts w:ascii="Arial" w:eastAsia="Arial" w:hAnsi="Arial" w:cs="Arial"/>
                <w:sz w:val="24"/>
                <w:szCs w:val="24"/>
              </w:rPr>
              <w:t>Percentage (%) of enquiries responded to within 2 working days</w:t>
            </w:r>
          </w:p>
        </w:tc>
        <w:tc>
          <w:tcPr>
            <w:tcW w:w="1476" w:type="dxa"/>
            <w:tcBorders>
              <w:top w:val="single" w:sz="4" w:space="0" w:color="000000"/>
              <w:left w:val="single" w:sz="4" w:space="0" w:color="000000"/>
              <w:bottom w:val="single" w:sz="4" w:space="0" w:color="000000"/>
              <w:right w:val="single" w:sz="4" w:space="0" w:color="000000"/>
            </w:tcBorders>
          </w:tcPr>
          <w:p w14:paraId="522B348B" w14:textId="77777777" w:rsidR="00E15A40" w:rsidRDefault="00E15A40">
            <w:pPr>
              <w:rPr>
                <w:rFonts w:ascii="Arial" w:eastAsia="Arial" w:hAnsi="Arial" w:cs="Arial"/>
                <w:sz w:val="24"/>
                <w:szCs w:val="24"/>
              </w:rPr>
            </w:pPr>
          </w:p>
          <w:p w14:paraId="5E8B9FBF" w14:textId="77777777" w:rsidR="00E15A40" w:rsidRDefault="00F856DA">
            <w:pPr>
              <w:rPr>
                <w:rFonts w:ascii="Arial" w:eastAsia="Arial" w:hAnsi="Arial" w:cs="Arial"/>
                <w:sz w:val="24"/>
                <w:szCs w:val="24"/>
              </w:rPr>
            </w:pPr>
            <w:r>
              <w:rPr>
                <w:rFonts w:ascii="Arial" w:eastAsia="Arial" w:hAnsi="Arial" w:cs="Arial"/>
                <w:sz w:val="24"/>
                <w:szCs w:val="24"/>
              </w:rPr>
              <w:t>0% - 2%</w:t>
            </w:r>
          </w:p>
          <w:p w14:paraId="2D7C47C4" w14:textId="77777777" w:rsidR="00E15A40" w:rsidRDefault="00F856DA">
            <w:pPr>
              <w:rPr>
                <w:rFonts w:ascii="Arial" w:eastAsia="Arial" w:hAnsi="Arial" w:cs="Arial"/>
                <w:sz w:val="24"/>
                <w:szCs w:val="24"/>
              </w:rPr>
            </w:pPr>
            <w:r>
              <w:rPr>
                <w:rFonts w:ascii="Arial" w:eastAsia="Arial" w:hAnsi="Arial" w:cs="Arial"/>
                <w:sz w:val="24"/>
                <w:szCs w:val="24"/>
              </w:rPr>
              <w:t>0% - 5%</w:t>
            </w:r>
          </w:p>
          <w:p w14:paraId="13D9FAD4" w14:textId="77777777" w:rsidR="00E15A40" w:rsidRDefault="00F856DA">
            <w:pPr>
              <w:rPr>
                <w:rFonts w:ascii="Arial" w:eastAsia="Arial" w:hAnsi="Arial" w:cs="Arial"/>
                <w:sz w:val="24"/>
                <w:szCs w:val="24"/>
              </w:rPr>
            </w:pPr>
            <w:r>
              <w:rPr>
                <w:rFonts w:ascii="Arial" w:eastAsia="Arial" w:hAnsi="Arial" w:cs="Arial"/>
                <w:sz w:val="24"/>
                <w:szCs w:val="24"/>
              </w:rPr>
              <w:t>90% - 100%</w:t>
            </w:r>
          </w:p>
        </w:tc>
        <w:tc>
          <w:tcPr>
            <w:tcW w:w="2234" w:type="dxa"/>
            <w:tcBorders>
              <w:top w:val="single" w:sz="4" w:space="0" w:color="000000"/>
              <w:left w:val="single" w:sz="4" w:space="0" w:color="000000"/>
              <w:bottom w:val="single" w:sz="4" w:space="0" w:color="000000"/>
              <w:right w:val="single" w:sz="4" w:space="0" w:color="000000"/>
            </w:tcBorders>
          </w:tcPr>
          <w:p w14:paraId="2C785B94" w14:textId="77777777" w:rsidR="00E15A40" w:rsidRDefault="00E15A40">
            <w:pPr>
              <w:spacing w:after="240" w:line="240" w:lineRule="auto"/>
              <w:rPr>
                <w:rFonts w:ascii="Arial" w:eastAsia="Arial" w:hAnsi="Arial" w:cs="Arial"/>
                <w:sz w:val="24"/>
                <w:szCs w:val="24"/>
              </w:rPr>
            </w:pPr>
          </w:p>
          <w:p w14:paraId="205DF7F6"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4FFE5EE0"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6C8A8E4A" w14:textId="77777777" w:rsidR="00E15A40" w:rsidRDefault="00F856DA">
            <w:pPr>
              <w:spacing w:after="240" w:line="240" w:lineRule="auto"/>
              <w:rPr>
                <w:rFonts w:ascii="Arial" w:eastAsia="Arial" w:hAnsi="Arial" w:cs="Arial"/>
                <w:sz w:val="24"/>
                <w:szCs w:val="24"/>
              </w:rPr>
            </w:pPr>
            <w:r>
              <w:rPr>
                <w:rFonts w:ascii="Arial" w:eastAsia="Arial" w:hAnsi="Arial" w:cs="Arial"/>
                <w:sz w:val="24"/>
                <w:szCs w:val="24"/>
              </w:rPr>
              <w:t>Supplier monthly PI report</w:t>
            </w:r>
          </w:p>
          <w:p w14:paraId="1A81A1B3" w14:textId="77777777" w:rsidR="00E15A40" w:rsidRDefault="00E15A40">
            <w:pPr>
              <w:rPr>
                <w:rFonts w:ascii="Arial" w:eastAsia="Arial" w:hAnsi="Arial" w:cs="Arial"/>
                <w:sz w:val="24"/>
                <w:szCs w:val="24"/>
              </w:rPr>
            </w:pPr>
          </w:p>
        </w:tc>
      </w:tr>
      <w:tr w:rsidR="00E15A40" w14:paraId="3B8B9839" w14:textId="77777777">
        <w:trPr>
          <w:trHeight w:val="787"/>
          <w:jc w:val="center"/>
        </w:trPr>
        <w:tc>
          <w:tcPr>
            <w:tcW w:w="4293" w:type="dxa"/>
            <w:tcBorders>
              <w:top w:val="single" w:sz="4" w:space="0" w:color="000000"/>
              <w:left w:val="single" w:sz="4" w:space="0" w:color="000000"/>
              <w:bottom w:val="single" w:sz="4" w:space="0" w:color="666666"/>
              <w:right w:val="single" w:sz="4" w:space="0" w:color="000000"/>
            </w:tcBorders>
          </w:tcPr>
          <w:p w14:paraId="7A0CB1A2" w14:textId="77777777" w:rsidR="00E15A40" w:rsidRDefault="00F856DA">
            <w:pPr>
              <w:rPr>
                <w:rFonts w:ascii="Arial" w:eastAsia="Arial" w:hAnsi="Arial" w:cs="Arial"/>
                <w:b/>
                <w:sz w:val="24"/>
                <w:szCs w:val="24"/>
              </w:rPr>
            </w:pPr>
            <w:r>
              <w:rPr>
                <w:rFonts w:ascii="Arial" w:eastAsia="Arial" w:hAnsi="Arial" w:cs="Arial"/>
                <w:b/>
                <w:sz w:val="24"/>
                <w:szCs w:val="24"/>
              </w:rPr>
              <w:t xml:space="preserve">CUSTOMER COMPLAINTS </w:t>
            </w:r>
          </w:p>
          <w:p w14:paraId="54079840" w14:textId="77777777" w:rsidR="00E15A40" w:rsidRDefault="00F856DA">
            <w:pPr>
              <w:rPr>
                <w:rFonts w:ascii="Arial" w:eastAsia="Arial" w:hAnsi="Arial" w:cs="Arial"/>
                <w:sz w:val="24"/>
                <w:szCs w:val="24"/>
              </w:rPr>
            </w:pPr>
            <w:r>
              <w:rPr>
                <w:rFonts w:ascii="Arial" w:eastAsia="Arial" w:hAnsi="Arial" w:cs="Arial"/>
                <w:sz w:val="24"/>
                <w:szCs w:val="24"/>
              </w:rPr>
              <w:t>Description of complaint received and action taken to resolv</w:t>
            </w:r>
            <w:r>
              <w:rPr>
                <w:rFonts w:ascii="Arial" w:eastAsia="Arial" w:hAnsi="Arial" w:cs="Arial"/>
                <w:sz w:val="24"/>
                <w:szCs w:val="24"/>
              </w:rPr>
              <w:t>e</w:t>
            </w:r>
          </w:p>
          <w:p w14:paraId="4268A797" w14:textId="77777777" w:rsidR="00E15A40" w:rsidRDefault="00F856DA">
            <w:pPr>
              <w:rPr>
                <w:rFonts w:ascii="Arial" w:eastAsia="Arial" w:hAnsi="Arial" w:cs="Arial"/>
                <w:sz w:val="24"/>
                <w:szCs w:val="24"/>
              </w:rPr>
            </w:pPr>
            <w:r>
              <w:rPr>
                <w:rFonts w:ascii="Arial" w:eastAsia="Arial" w:hAnsi="Arial" w:cs="Arial"/>
                <w:sz w:val="24"/>
                <w:szCs w:val="24"/>
              </w:rPr>
              <w:t>Percentage (%) of complaints logged and reported to CCS</w:t>
            </w:r>
          </w:p>
          <w:p w14:paraId="43F22B9D" w14:textId="77777777" w:rsidR="00E15A40" w:rsidRDefault="00F856DA">
            <w:pPr>
              <w:rPr>
                <w:rFonts w:ascii="Arial" w:eastAsia="Arial" w:hAnsi="Arial" w:cs="Arial"/>
                <w:sz w:val="24"/>
                <w:szCs w:val="24"/>
              </w:rPr>
            </w:pPr>
            <w:r>
              <w:rPr>
                <w:rFonts w:ascii="Arial" w:eastAsia="Arial" w:hAnsi="Arial" w:cs="Arial"/>
                <w:sz w:val="24"/>
                <w:szCs w:val="24"/>
              </w:rPr>
              <w:lastRenderedPageBreak/>
              <w:t>Percentage (%) of open complaints resolved</w:t>
            </w:r>
          </w:p>
        </w:tc>
        <w:tc>
          <w:tcPr>
            <w:tcW w:w="1476" w:type="dxa"/>
            <w:tcBorders>
              <w:top w:val="single" w:sz="4" w:space="0" w:color="000000"/>
              <w:left w:val="single" w:sz="4" w:space="0" w:color="000000"/>
              <w:bottom w:val="single" w:sz="4" w:space="0" w:color="666666"/>
              <w:right w:val="single" w:sz="4" w:space="0" w:color="000000"/>
            </w:tcBorders>
          </w:tcPr>
          <w:p w14:paraId="3C80051F" w14:textId="77777777" w:rsidR="00E15A40" w:rsidRDefault="00F856DA">
            <w:pPr>
              <w:spacing w:before="240" w:after="120" w:line="240" w:lineRule="auto"/>
              <w:rPr>
                <w:rFonts w:ascii="Arial" w:eastAsia="Arial" w:hAnsi="Arial" w:cs="Arial"/>
                <w:sz w:val="24"/>
                <w:szCs w:val="24"/>
              </w:rPr>
            </w:pPr>
            <w:r>
              <w:rPr>
                <w:rFonts w:ascii="Arial" w:eastAsia="Arial" w:hAnsi="Arial" w:cs="Arial"/>
                <w:sz w:val="24"/>
                <w:szCs w:val="24"/>
              </w:rPr>
              <w:lastRenderedPageBreak/>
              <w:t>100%</w:t>
            </w:r>
          </w:p>
          <w:p w14:paraId="16513CFF" w14:textId="77777777" w:rsidR="00E15A40" w:rsidRDefault="00E15A40">
            <w:pPr>
              <w:spacing w:before="240" w:after="120" w:line="240" w:lineRule="auto"/>
              <w:rPr>
                <w:rFonts w:ascii="Arial" w:eastAsia="Arial" w:hAnsi="Arial" w:cs="Arial"/>
                <w:sz w:val="24"/>
                <w:szCs w:val="24"/>
              </w:rPr>
            </w:pPr>
          </w:p>
          <w:p w14:paraId="459DC818" w14:textId="77777777" w:rsidR="00E15A40" w:rsidRDefault="00F856DA">
            <w:pPr>
              <w:spacing w:before="240" w:after="120" w:line="240" w:lineRule="auto"/>
              <w:rPr>
                <w:rFonts w:ascii="Arial" w:eastAsia="Arial" w:hAnsi="Arial" w:cs="Arial"/>
                <w:sz w:val="24"/>
                <w:szCs w:val="24"/>
              </w:rPr>
            </w:pPr>
            <w:r>
              <w:rPr>
                <w:rFonts w:ascii="Arial" w:eastAsia="Arial" w:hAnsi="Arial" w:cs="Arial"/>
                <w:sz w:val="24"/>
                <w:szCs w:val="24"/>
              </w:rPr>
              <w:t xml:space="preserve"> 100%</w:t>
            </w:r>
          </w:p>
          <w:p w14:paraId="5112292B" w14:textId="77777777" w:rsidR="00E15A40" w:rsidRDefault="00F856DA">
            <w:pPr>
              <w:spacing w:before="240" w:after="120" w:line="240" w:lineRule="auto"/>
              <w:ind w:left="142"/>
              <w:rPr>
                <w:rFonts w:ascii="Arial" w:eastAsia="Arial" w:hAnsi="Arial" w:cs="Arial"/>
                <w:sz w:val="24"/>
                <w:szCs w:val="24"/>
              </w:rPr>
            </w:pPr>
            <w:r>
              <w:rPr>
                <w:rFonts w:ascii="Arial" w:eastAsia="Arial" w:hAnsi="Arial" w:cs="Arial"/>
                <w:sz w:val="24"/>
                <w:szCs w:val="24"/>
              </w:rPr>
              <w:lastRenderedPageBreak/>
              <w:t>85% - 100%</w:t>
            </w:r>
          </w:p>
          <w:p w14:paraId="40C23867" w14:textId="77777777" w:rsidR="00E15A40" w:rsidRDefault="00E15A40">
            <w:pPr>
              <w:rPr>
                <w:rFonts w:ascii="Arial" w:eastAsia="Arial" w:hAnsi="Arial" w:cs="Arial"/>
                <w:sz w:val="24"/>
                <w:szCs w:val="24"/>
              </w:rPr>
            </w:pPr>
          </w:p>
        </w:tc>
        <w:tc>
          <w:tcPr>
            <w:tcW w:w="2234" w:type="dxa"/>
            <w:tcBorders>
              <w:top w:val="single" w:sz="4" w:space="0" w:color="000000"/>
              <w:left w:val="single" w:sz="4" w:space="0" w:color="000000"/>
              <w:bottom w:val="single" w:sz="4" w:space="0" w:color="666666"/>
              <w:right w:val="single" w:sz="4" w:space="0" w:color="000000"/>
            </w:tcBorders>
          </w:tcPr>
          <w:p w14:paraId="75FAA2D4" w14:textId="77777777" w:rsidR="00E15A40" w:rsidRDefault="00E15A40">
            <w:pPr>
              <w:rPr>
                <w:rFonts w:ascii="Arial" w:eastAsia="Arial" w:hAnsi="Arial" w:cs="Arial"/>
                <w:sz w:val="24"/>
                <w:szCs w:val="24"/>
              </w:rPr>
            </w:pPr>
          </w:p>
          <w:p w14:paraId="2B458FEF" w14:textId="77777777" w:rsidR="00E15A40" w:rsidRDefault="00F856DA">
            <w:pPr>
              <w:rPr>
                <w:rFonts w:ascii="Arial" w:eastAsia="Arial" w:hAnsi="Arial" w:cs="Arial"/>
                <w:sz w:val="24"/>
                <w:szCs w:val="24"/>
              </w:rPr>
            </w:pPr>
            <w:r>
              <w:rPr>
                <w:rFonts w:ascii="Arial" w:eastAsia="Arial" w:hAnsi="Arial" w:cs="Arial"/>
                <w:sz w:val="24"/>
                <w:szCs w:val="24"/>
              </w:rPr>
              <w:t xml:space="preserve">Supplier monthly PI report </w:t>
            </w:r>
          </w:p>
          <w:p w14:paraId="26AF937A" w14:textId="77777777" w:rsidR="00E15A40" w:rsidRDefault="00F856DA">
            <w:pPr>
              <w:rPr>
                <w:rFonts w:ascii="Arial" w:eastAsia="Arial" w:hAnsi="Arial" w:cs="Arial"/>
                <w:sz w:val="24"/>
                <w:szCs w:val="24"/>
              </w:rPr>
            </w:pPr>
            <w:r>
              <w:rPr>
                <w:rFonts w:ascii="Arial" w:eastAsia="Arial" w:hAnsi="Arial" w:cs="Arial"/>
                <w:sz w:val="24"/>
                <w:szCs w:val="24"/>
              </w:rPr>
              <w:t>Supplier monthly PI report</w:t>
            </w:r>
          </w:p>
          <w:p w14:paraId="38B96605" w14:textId="77777777" w:rsidR="00E15A40" w:rsidRDefault="00F856DA">
            <w:pPr>
              <w:rPr>
                <w:rFonts w:ascii="Arial" w:eastAsia="Arial" w:hAnsi="Arial" w:cs="Arial"/>
                <w:sz w:val="24"/>
                <w:szCs w:val="24"/>
              </w:rPr>
            </w:pPr>
            <w:r>
              <w:rPr>
                <w:rFonts w:ascii="Arial" w:eastAsia="Arial" w:hAnsi="Arial" w:cs="Arial"/>
                <w:sz w:val="24"/>
                <w:szCs w:val="24"/>
              </w:rPr>
              <w:lastRenderedPageBreak/>
              <w:t>Supplier monthly PI report</w:t>
            </w:r>
          </w:p>
        </w:tc>
      </w:tr>
      <w:tr w:rsidR="00E15A40" w14:paraId="216258B7"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55B8457"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lastRenderedPageBreak/>
              <w:t>LOT 1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2F1024D"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2F23831"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E15A40" w14:paraId="43D34A11"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54F21EB3" w14:textId="77777777" w:rsidR="00E15A40" w:rsidRDefault="00F856DA">
            <w:pPr>
              <w:spacing w:before="80" w:after="80"/>
              <w:rPr>
                <w:rFonts w:ascii="Arial" w:eastAsia="Arial" w:hAnsi="Arial" w:cs="Arial"/>
                <w:sz w:val="24"/>
                <w:szCs w:val="24"/>
              </w:rPr>
            </w:pPr>
            <w:r>
              <w:rPr>
                <w:rFonts w:ascii="Arial" w:eastAsia="Arial" w:hAnsi="Arial" w:cs="Arial"/>
                <w:sz w:val="24"/>
                <w:szCs w:val="24"/>
              </w:rPr>
              <w:t>Supplier to submit weekly lagged commodity prices to CCS by 10:00 on the first working day of each week</w:t>
            </w:r>
          </w:p>
        </w:tc>
        <w:tc>
          <w:tcPr>
            <w:tcW w:w="1476" w:type="dxa"/>
            <w:tcBorders>
              <w:top w:val="single" w:sz="4" w:space="0" w:color="000000"/>
              <w:left w:val="single" w:sz="4" w:space="0" w:color="000000"/>
              <w:bottom w:val="single" w:sz="4" w:space="0" w:color="000000"/>
              <w:right w:val="single" w:sz="4" w:space="0" w:color="000000"/>
            </w:tcBorders>
            <w:vAlign w:val="center"/>
          </w:tcPr>
          <w:p w14:paraId="6790AF0A"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3497EFB2"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CCS fuels team report</w:t>
            </w:r>
          </w:p>
        </w:tc>
      </w:tr>
      <w:tr w:rsidR="00E15A40" w14:paraId="3C15FA00"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BCD562E"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LOT 2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F6FDAAF"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1253959"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E15A40" w14:paraId="0EDF4C68"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3224B6C8" w14:textId="77777777" w:rsidR="00E15A40" w:rsidRDefault="00F856DA">
            <w:pPr>
              <w:spacing w:before="80" w:after="80"/>
              <w:rPr>
                <w:rFonts w:ascii="Arial" w:eastAsia="Arial" w:hAnsi="Arial" w:cs="Arial"/>
                <w:sz w:val="24"/>
                <w:szCs w:val="24"/>
              </w:rPr>
            </w:pPr>
            <w:r>
              <w:rPr>
                <w:rFonts w:ascii="Arial" w:eastAsia="Arial" w:hAnsi="Arial" w:cs="Arial"/>
                <w:sz w:val="24"/>
                <w:szCs w:val="24"/>
              </w:rPr>
              <w:t>Supplier to submit monthly lagged commodity prices to CCS and Buyers by 10:00 on the first working day of each month</w:t>
            </w:r>
          </w:p>
        </w:tc>
        <w:tc>
          <w:tcPr>
            <w:tcW w:w="1476" w:type="dxa"/>
            <w:tcBorders>
              <w:top w:val="single" w:sz="4" w:space="0" w:color="000000"/>
              <w:left w:val="single" w:sz="4" w:space="0" w:color="000000"/>
              <w:bottom w:val="single" w:sz="4" w:space="0" w:color="000000"/>
              <w:right w:val="single" w:sz="4" w:space="0" w:color="000000"/>
            </w:tcBorders>
            <w:vAlign w:val="center"/>
          </w:tcPr>
          <w:p w14:paraId="4584D5E5" w14:textId="77777777" w:rsidR="00E15A40" w:rsidRDefault="00F856DA">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140E97B9" w14:textId="77777777" w:rsidR="00E15A40" w:rsidRDefault="00F856DA">
            <w:pPr>
              <w:spacing w:before="80" w:after="80"/>
              <w:rPr>
                <w:rFonts w:ascii="Arial" w:eastAsia="Arial" w:hAnsi="Arial" w:cs="Arial"/>
                <w:sz w:val="24"/>
                <w:szCs w:val="24"/>
              </w:rPr>
            </w:pPr>
            <w:r>
              <w:rPr>
                <w:rFonts w:ascii="Arial" w:eastAsia="Arial" w:hAnsi="Arial" w:cs="Arial"/>
                <w:sz w:val="24"/>
                <w:szCs w:val="24"/>
              </w:rPr>
              <w:t>CCS fuels team report</w:t>
            </w:r>
          </w:p>
        </w:tc>
      </w:tr>
      <w:tr w:rsidR="00E15A40" w14:paraId="716A3DD0"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782EE1A"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LOTS 1 - 4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4F51763"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98F16CB" w14:textId="77777777" w:rsidR="00E15A40" w:rsidRDefault="00F856DA">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E15A40" w14:paraId="799B91B7" w14:textId="77777777">
        <w:trPr>
          <w:trHeight w:val="787"/>
          <w:jc w:val="center"/>
        </w:trPr>
        <w:tc>
          <w:tcPr>
            <w:tcW w:w="4293" w:type="dxa"/>
            <w:tcBorders>
              <w:top w:val="single" w:sz="4" w:space="0" w:color="666666"/>
              <w:left w:val="single" w:sz="4" w:space="0" w:color="000000"/>
              <w:bottom w:val="single" w:sz="4" w:space="0" w:color="000000"/>
              <w:right w:val="single" w:sz="4" w:space="0" w:color="000000"/>
            </w:tcBorders>
            <w:shd w:val="clear" w:color="auto" w:fill="auto"/>
          </w:tcPr>
          <w:p w14:paraId="13D24D20"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DELIVERY MANAGEMENT</w:t>
            </w:r>
          </w:p>
          <w:p w14:paraId="05E58225"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Percentage of deliveries meeting agreed delivery date (within customer timelines as specified in Call-off agreement)</w:t>
            </w:r>
          </w:p>
          <w:p w14:paraId="50BE7DC9"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no site access</w:t>
            </w:r>
          </w:p>
          <w:p w14:paraId="36EC78A3"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incorrect customer order</w:t>
            </w:r>
          </w:p>
          <w:p w14:paraId="28DCDF48"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w:t>
            </w:r>
            <w:r>
              <w:rPr>
                <w:rFonts w:ascii="Arial" w:eastAsia="Arial" w:hAnsi="Arial" w:cs="Arial"/>
                <w:sz w:val="24"/>
                <w:szCs w:val="24"/>
              </w:rPr>
              <w:t>s due to security clearance issues</w:t>
            </w:r>
          </w:p>
          <w:p w14:paraId="3C6E8D5F"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fuel quality issues</w:t>
            </w:r>
          </w:p>
          <w:p w14:paraId="78324289"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delivery risks reported in month (ie. Spillage, faulty gauges, unsafe environment)</w:t>
            </w:r>
          </w:p>
        </w:tc>
        <w:tc>
          <w:tcPr>
            <w:tcW w:w="1476" w:type="dxa"/>
            <w:tcBorders>
              <w:top w:val="single" w:sz="4" w:space="0" w:color="666666"/>
              <w:left w:val="single" w:sz="4" w:space="0" w:color="000000"/>
              <w:bottom w:val="single" w:sz="4" w:space="0" w:color="000000"/>
              <w:right w:val="single" w:sz="4" w:space="0" w:color="000000"/>
            </w:tcBorders>
          </w:tcPr>
          <w:p w14:paraId="3B2F777C" w14:textId="77777777" w:rsidR="00E15A40" w:rsidRDefault="00E15A40">
            <w:pPr>
              <w:pBdr>
                <w:top w:val="nil"/>
                <w:left w:val="nil"/>
                <w:bottom w:val="nil"/>
                <w:right w:val="nil"/>
                <w:between w:val="nil"/>
              </w:pBdr>
              <w:rPr>
                <w:rFonts w:ascii="Arial" w:eastAsia="Arial" w:hAnsi="Arial" w:cs="Arial"/>
                <w:sz w:val="24"/>
                <w:szCs w:val="24"/>
              </w:rPr>
            </w:pPr>
          </w:p>
          <w:p w14:paraId="27079150"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95-100%</w:t>
            </w:r>
          </w:p>
          <w:p w14:paraId="685E658E" w14:textId="77777777" w:rsidR="00E15A40" w:rsidRDefault="00E15A40">
            <w:pPr>
              <w:pBdr>
                <w:top w:val="nil"/>
                <w:left w:val="nil"/>
                <w:bottom w:val="nil"/>
                <w:right w:val="nil"/>
                <w:between w:val="nil"/>
              </w:pBdr>
              <w:rPr>
                <w:rFonts w:ascii="Arial" w:eastAsia="Arial" w:hAnsi="Arial" w:cs="Arial"/>
                <w:sz w:val="24"/>
                <w:szCs w:val="24"/>
              </w:rPr>
            </w:pPr>
          </w:p>
          <w:p w14:paraId="086ADAF8" w14:textId="77777777" w:rsidR="00E15A40" w:rsidRDefault="00E15A40">
            <w:pPr>
              <w:pBdr>
                <w:top w:val="nil"/>
                <w:left w:val="nil"/>
                <w:bottom w:val="nil"/>
                <w:right w:val="nil"/>
                <w:between w:val="nil"/>
              </w:pBdr>
              <w:rPr>
                <w:rFonts w:ascii="Arial" w:eastAsia="Arial" w:hAnsi="Arial" w:cs="Arial"/>
                <w:sz w:val="24"/>
                <w:szCs w:val="24"/>
              </w:rPr>
            </w:pPr>
          </w:p>
          <w:p w14:paraId="065F2288" w14:textId="77777777" w:rsidR="00E15A40" w:rsidRDefault="00F856DA">
            <w:pPr>
              <w:rPr>
                <w:rFonts w:ascii="Arial" w:eastAsia="Arial" w:hAnsi="Arial" w:cs="Arial"/>
                <w:sz w:val="24"/>
                <w:szCs w:val="24"/>
              </w:rPr>
            </w:pPr>
            <w:r>
              <w:rPr>
                <w:rFonts w:ascii="Arial" w:eastAsia="Arial" w:hAnsi="Arial" w:cs="Arial"/>
                <w:sz w:val="24"/>
                <w:szCs w:val="24"/>
              </w:rPr>
              <w:t>95-100%</w:t>
            </w:r>
          </w:p>
          <w:p w14:paraId="0ABC64FF" w14:textId="77777777" w:rsidR="00E15A40" w:rsidRDefault="00F856DA">
            <w:pPr>
              <w:rPr>
                <w:rFonts w:ascii="Arial" w:eastAsia="Arial" w:hAnsi="Arial" w:cs="Arial"/>
                <w:sz w:val="24"/>
                <w:szCs w:val="24"/>
              </w:rPr>
            </w:pPr>
            <w:r>
              <w:rPr>
                <w:rFonts w:ascii="Arial" w:eastAsia="Arial" w:hAnsi="Arial" w:cs="Arial"/>
                <w:sz w:val="24"/>
                <w:szCs w:val="24"/>
              </w:rPr>
              <w:t>95-100%</w:t>
            </w:r>
          </w:p>
          <w:p w14:paraId="787B36D7" w14:textId="77777777" w:rsidR="00E15A40" w:rsidRDefault="00E15A40">
            <w:pPr>
              <w:rPr>
                <w:rFonts w:ascii="Arial" w:eastAsia="Arial" w:hAnsi="Arial" w:cs="Arial"/>
                <w:sz w:val="24"/>
                <w:szCs w:val="24"/>
              </w:rPr>
            </w:pPr>
          </w:p>
          <w:p w14:paraId="29F3DCC1" w14:textId="77777777" w:rsidR="00E15A40" w:rsidRDefault="00F856DA">
            <w:pPr>
              <w:rPr>
                <w:rFonts w:ascii="Arial" w:eastAsia="Arial" w:hAnsi="Arial" w:cs="Arial"/>
                <w:sz w:val="24"/>
                <w:szCs w:val="24"/>
              </w:rPr>
            </w:pPr>
            <w:r>
              <w:rPr>
                <w:rFonts w:ascii="Arial" w:eastAsia="Arial" w:hAnsi="Arial" w:cs="Arial"/>
                <w:sz w:val="24"/>
                <w:szCs w:val="24"/>
              </w:rPr>
              <w:t>95-100%</w:t>
            </w:r>
          </w:p>
          <w:p w14:paraId="0B689B54" w14:textId="77777777" w:rsidR="00E15A40" w:rsidRDefault="00E15A40">
            <w:pPr>
              <w:rPr>
                <w:rFonts w:ascii="Arial" w:eastAsia="Arial" w:hAnsi="Arial" w:cs="Arial"/>
                <w:sz w:val="24"/>
                <w:szCs w:val="24"/>
              </w:rPr>
            </w:pPr>
          </w:p>
          <w:p w14:paraId="471B965E" w14:textId="77777777" w:rsidR="00E15A40" w:rsidRDefault="00F856DA">
            <w:pPr>
              <w:rPr>
                <w:rFonts w:ascii="Arial" w:eastAsia="Arial" w:hAnsi="Arial" w:cs="Arial"/>
                <w:sz w:val="24"/>
                <w:szCs w:val="24"/>
              </w:rPr>
            </w:pPr>
            <w:r>
              <w:rPr>
                <w:rFonts w:ascii="Arial" w:eastAsia="Arial" w:hAnsi="Arial" w:cs="Arial"/>
                <w:sz w:val="24"/>
                <w:szCs w:val="24"/>
              </w:rPr>
              <w:t>95-100%</w:t>
            </w:r>
          </w:p>
          <w:p w14:paraId="08647E7A" w14:textId="77777777" w:rsidR="00E15A40" w:rsidRDefault="00F856DA">
            <w:pPr>
              <w:rPr>
                <w:rFonts w:ascii="Arial" w:eastAsia="Arial" w:hAnsi="Arial" w:cs="Arial"/>
                <w:sz w:val="24"/>
                <w:szCs w:val="24"/>
              </w:rPr>
            </w:pPr>
            <w:r>
              <w:rPr>
                <w:rFonts w:ascii="Arial" w:eastAsia="Arial" w:hAnsi="Arial" w:cs="Arial"/>
                <w:sz w:val="24"/>
                <w:szCs w:val="24"/>
              </w:rPr>
              <w:t>95-100%</w:t>
            </w:r>
          </w:p>
          <w:p w14:paraId="1254B822" w14:textId="77777777" w:rsidR="00E15A40" w:rsidRDefault="00E15A40">
            <w:pPr>
              <w:rPr>
                <w:rFonts w:ascii="Arial" w:eastAsia="Arial" w:hAnsi="Arial" w:cs="Arial"/>
                <w:sz w:val="24"/>
                <w:szCs w:val="24"/>
              </w:rPr>
            </w:pPr>
          </w:p>
          <w:p w14:paraId="5728B177" w14:textId="77777777" w:rsidR="00E15A40" w:rsidRDefault="00E15A40">
            <w:pPr>
              <w:pBdr>
                <w:top w:val="nil"/>
                <w:left w:val="nil"/>
                <w:bottom w:val="nil"/>
                <w:right w:val="nil"/>
                <w:between w:val="nil"/>
              </w:pBdr>
              <w:rPr>
                <w:rFonts w:ascii="Arial" w:eastAsia="Arial" w:hAnsi="Arial" w:cs="Arial"/>
                <w:sz w:val="24"/>
                <w:szCs w:val="24"/>
              </w:rPr>
            </w:pPr>
          </w:p>
        </w:tc>
        <w:tc>
          <w:tcPr>
            <w:tcW w:w="2234" w:type="dxa"/>
            <w:tcBorders>
              <w:top w:val="single" w:sz="4" w:space="0" w:color="666666"/>
              <w:left w:val="single" w:sz="4" w:space="0" w:color="000000"/>
              <w:bottom w:val="single" w:sz="4" w:space="0" w:color="000000"/>
              <w:right w:val="single" w:sz="4" w:space="0" w:color="000000"/>
            </w:tcBorders>
          </w:tcPr>
          <w:p w14:paraId="4F2CF626" w14:textId="77777777" w:rsidR="00E15A40" w:rsidRDefault="00E15A40">
            <w:pPr>
              <w:pBdr>
                <w:top w:val="nil"/>
                <w:left w:val="nil"/>
                <w:bottom w:val="nil"/>
                <w:right w:val="nil"/>
                <w:between w:val="nil"/>
              </w:pBdr>
              <w:rPr>
                <w:rFonts w:ascii="Arial" w:eastAsia="Arial" w:hAnsi="Arial" w:cs="Arial"/>
                <w:sz w:val="24"/>
                <w:szCs w:val="24"/>
              </w:rPr>
            </w:pPr>
          </w:p>
          <w:p w14:paraId="0AEBFA6E"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w:t>
            </w:r>
            <w:r>
              <w:rPr>
                <w:rFonts w:ascii="Arial" w:eastAsia="Arial" w:hAnsi="Arial" w:cs="Arial"/>
                <w:sz w:val="24"/>
                <w:szCs w:val="24"/>
              </w:rPr>
              <w:t xml:space="preserve"> PI report</w:t>
            </w:r>
          </w:p>
          <w:p w14:paraId="19F313A6" w14:textId="77777777" w:rsidR="00E15A40" w:rsidRDefault="00E15A40">
            <w:pPr>
              <w:pBdr>
                <w:top w:val="nil"/>
                <w:left w:val="nil"/>
                <w:bottom w:val="nil"/>
                <w:right w:val="nil"/>
                <w:between w:val="nil"/>
              </w:pBdr>
              <w:rPr>
                <w:rFonts w:ascii="Arial" w:eastAsia="Arial" w:hAnsi="Arial" w:cs="Arial"/>
                <w:sz w:val="24"/>
                <w:szCs w:val="24"/>
              </w:rPr>
            </w:pPr>
          </w:p>
          <w:p w14:paraId="1D4577F0"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14:paraId="0D16E13F"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14:paraId="41CBE40F"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14:paraId="45F8F9CD"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14:paraId="7B940BF4" w14:textId="77777777" w:rsidR="00E15A40" w:rsidRDefault="00F856DA">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tc>
      </w:tr>
    </w:tbl>
    <w:p w14:paraId="6031FFE8" w14:textId="77777777" w:rsidR="00E15A40" w:rsidRDefault="00E15A40">
      <w:pPr>
        <w:keepNext/>
        <w:tabs>
          <w:tab w:val="left" w:pos="1134"/>
        </w:tabs>
        <w:spacing w:before="120" w:after="120" w:line="240" w:lineRule="auto"/>
        <w:ind w:left="360"/>
        <w:rPr>
          <w:rFonts w:ascii="Arial" w:eastAsia="Arial" w:hAnsi="Arial" w:cs="Arial"/>
          <w:b/>
          <w:sz w:val="24"/>
          <w:szCs w:val="24"/>
        </w:rPr>
      </w:pPr>
    </w:p>
    <w:p w14:paraId="79334CCE" w14:textId="77777777" w:rsidR="00E15A40" w:rsidRDefault="00E15A40">
      <w:pPr>
        <w:tabs>
          <w:tab w:val="left" w:pos="1134"/>
        </w:tabs>
        <w:spacing w:before="120" w:after="120" w:line="240" w:lineRule="auto"/>
        <w:rPr>
          <w:rFonts w:ascii="Arial" w:eastAsia="Arial" w:hAnsi="Arial" w:cs="Arial"/>
          <w:b/>
          <w:sz w:val="24"/>
          <w:szCs w:val="24"/>
        </w:rPr>
      </w:pPr>
    </w:p>
    <w:p w14:paraId="40167FC2"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3A30184F"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14:paraId="62215894" w14:textId="77777777" w:rsidR="00E15A40" w:rsidRDefault="00F856DA">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14:paraId="3450035A" w14:textId="77777777" w:rsidR="00E15A40" w:rsidRDefault="00F856DA">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7C9D6883" w14:textId="77777777" w:rsidR="00E15A40" w:rsidRDefault="00F856DA">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Supplier shall cooperate in good faith with CCS to develop efficiency tracking performance measures for this Contract. This shall include the following (but this list i</w:t>
      </w:r>
      <w:r>
        <w:rPr>
          <w:rFonts w:ascii="Arial" w:eastAsia="Arial" w:hAnsi="Arial" w:cs="Arial"/>
          <w:color w:val="000000"/>
          <w:sz w:val="24"/>
          <w:szCs w:val="24"/>
        </w:rPr>
        <w:t xml:space="preserve">s not exhaustive and may be developed during the Framework Contract Period): </w:t>
      </w:r>
    </w:p>
    <w:p w14:paraId="3DBF5B1B"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7116FBD7"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14:paraId="19C84990"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14:paraId="33BAE6DD"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14:paraId="2437860D" w14:textId="77777777" w:rsidR="00E15A40" w:rsidRDefault="00F856DA">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011E6B6E"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14:paraId="070C121D"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751F8A05" w14:textId="77777777" w:rsidR="00E15A40" w:rsidRDefault="00F856DA">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heading=h.3dy6vkm" w:colFirst="0" w:colLast="0"/>
      <w:bookmarkEnd w:id="6"/>
      <w:r>
        <w:rPr>
          <w:rFonts w:ascii="Arial Bold" w:eastAsia="Arial Bold" w:hAnsi="Arial Bold" w:cs="Arial Bold"/>
          <w:b/>
          <w:color w:val="000000"/>
          <w:sz w:val="24"/>
          <w:szCs w:val="24"/>
        </w:rPr>
        <w:t>Marketing</w:t>
      </w:r>
    </w:p>
    <w:p w14:paraId="55FEE2F4"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2E5599E9" w14:textId="77777777" w:rsidR="00E15A40" w:rsidRDefault="00F856DA">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How the Supplier must contribute to CCS publications</w:t>
      </w:r>
    </w:p>
    <w:p w14:paraId="24FE4F5F"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14:paraId="4B37AD2D"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Such information shall be provided in such form and at such time as CCS may request.</w:t>
      </w:r>
    </w:p>
    <w:p w14:paraId="31FB83FF"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14:paraId="19038FA7" w14:textId="77777777" w:rsidR="00E15A40" w:rsidRDefault="00F856DA">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38AAAE1E"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w:t>
        </w:r>
        <w:r>
          <w:rPr>
            <w:rFonts w:ascii="Arial" w:eastAsia="Arial" w:hAnsi="Arial" w:cs="Arial"/>
            <w:color w:val="0000FF"/>
            <w:sz w:val="24"/>
            <w:szCs w:val="24"/>
            <w:u w:val="single"/>
          </w:rPr>
          <w:t>lier-logo-and-brand-guidelines</w:t>
        </w:r>
      </w:hyperlink>
      <w:r>
        <w:rPr>
          <w:rFonts w:ascii="Arial" w:eastAsia="Arial" w:hAnsi="Arial" w:cs="Arial"/>
          <w:color w:val="000000"/>
          <w:sz w:val="24"/>
          <w:szCs w:val="24"/>
        </w:rPr>
        <w:t>.</w:t>
      </w:r>
    </w:p>
    <w:p w14:paraId="06E69470"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56D93081"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652697F5" w14:textId="77777777" w:rsidR="00E15A40" w:rsidRDefault="00F856DA">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w:t>
      </w:r>
      <w:r>
        <w:rPr>
          <w:rFonts w:ascii="Arial" w:eastAsia="Arial" w:hAnsi="Arial" w:cs="Arial"/>
          <w:color w:val="000000"/>
          <w:sz w:val="24"/>
          <w:szCs w:val="24"/>
        </w:rPr>
        <w:t>lishing any content in relation to a Contract with that Party using any media, including on any electronic medium, and the Supplier will ensure that such content is regularly maintained and updated.  In the event that the Supplier fails to maintain or upda</w:t>
      </w:r>
      <w:r>
        <w:rPr>
          <w:rFonts w:ascii="Arial" w:eastAsia="Arial" w:hAnsi="Arial" w:cs="Arial"/>
          <w:color w:val="000000"/>
          <w:sz w:val="24"/>
          <w:szCs w:val="24"/>
        </w:rPr>
        <w:t>te the content, CCS or the relevant Buyer may give the Supplier notice to rectify the failure and if the failure is not rectified to its reasonable satisfaction within one (1) Month of receipt of such notice, shall have the right to remove such content its</w:t>
      </w:r>
      <w:r>
        <w:rPr>
          <w:rFonts w:ascii="Arial" w:eastAsia="Arial" w:hAnsi="Arial" w:cs="Arial"/>
          <w:color w:val="000000"/>
          <w:sz w:val="24"/>
          <w:szCs w:val="24"/>
        </w:rPr>
        <w:t>elf or require that the Supplier immediately arranges the removal of such content.</w:t>
      </w:r>
    </w:p>
    <w:p w14:paraId="14A07CB4" w14:textId="77777777" w:rsidR="00E15A40" w:rsidRDefault="00F856DA">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14:paraId="6BDCD20A" w14:textId="77777777" w:rsidR="00E15A40" w:rsidRDefault="00F856DA">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1172C2DF" w14:textId="77777777" w:rsidR="00E15A40" w:rsidRDefault="00F856DA">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3 (Continuous Improvement);]</w:t>
      </w:r>
    </w:p>
    <w:p w14:paraId="7AAA9497" w14:textId="77777777" w:rsidR="00E15A40" w:rsidRDefault="00F856DA">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7D134BCE"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 and]</w:t>
      </w:r>
    </w:p>
    <w:p w14:paraId="68500DDA"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16 (Benchmarking).]</w:t>
      </w:r>
    </w:p>
    <w:p w14:paraId="62305350" w14:textId="77777777" w:rsidR="00E15A40" w:rsidRDefault="00F856DA">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72F90C36" w14:textId="77777777" w:rsidR="00E15A40" w:rsidRDefault="00F856DA">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57565FE3" w14:textId="77777777" w:rsidR="00E15A40" w:rsidRDefault="00F856DA">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27A97370"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2ABE5FB6"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allowing CCS to act as agent for the Buyers under the Supported Schedules for such matters as CCS may notify to the Supplier from time to time; and</w:t>
      </w:r>
    </w:p>
    <w:p w14:paraId="646AA2A8"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69EEE331" w14:textId="77777777" w:rsidR="00E15A40" w:rsidRDefault="00F856DA">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0C8EB8AE" w14:textId="77777777" w:rsidR="00E15A40" w:rsidRDefault="00F856DA">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5A4F9193" w14:textId="77777777" w:rsidR="00E15A40" w:rsidRDefault="00F856DA">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r>
        <w:rPr>
          <w:rFonts w:ascii="Arial" w:eastAsia="Arial" w:hAnsi="Arial" w:cs="Arial"/>
          <w:b/>
          <w:color w:val="000000"/>
          <w:sz w:val="24"/>
          <w:szCs w:val="24"/>
          <w:highlight w:val="yellow"/>
        </w:rPr>
        <w:t>[Guidance Note:</w:t>
      </w:r>
      <w:r>
        <w:rPr>
          <w:rFonts w:ascii="Arial" w:eastAsia="Arial" w:hAnsi="Arial" w:cs="Arial"/>
          <w:b/>
          <w:color w:val="000000"/>
          <w:sz w:val="24"/>
          <w:szCs w:val="24"/>
        </w:rPr>
        <w:t xml:space="preserve"> </w:t>
      </w:r>
      <w:r>
        <w:rPr>
          <w:rFonts w:ascii="Arial" w:eastAsia="Arial" w:hAnsi="Arial" w:cs="Arial"/>
          <w:color w:val="000000"/>
          <w:sz w:val="24"/>
          <w:szCs w:val="24"/>
        </w:rPr>
        <w:t>provisions in Paragraph 8 are to be includ</w:t>
      </w:r>
      <w:r>
        <w:rPr>
          <w:rFonts w:ascii="Arial" w:eastAsia="Arial" w:hAnsi="Arial" w:cs="Arial"/>
          <w:color w:val="000000"/>
          <w:sz w:val="24"/>
          <w:szCs w:val="24"/>
        </w:rPr>
        <w:t>ed where CCS would be better placed to provide support on behalf of the Buyer community as a whole in these areas.]</w:t>
      </w:r>
    </w:p>
    <w:p w14:paraId="39908E3E" w14:textId="77777777" w:rsidR="00E15A40" w:rsidRDefault="00F856DA">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79ADB231"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179A018E"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14:paraId="0A3A72E4" w14:textId="77777777" w:rsidR="00E15A40" w:rsidRDefault="00F856DA">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7F56412F"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w:t>
      </w:r>
      <w:r>
        <w:rPr>
          <w:rFonts w:ascii="Arial" w:eastAsia="Arial" w:hAnsi="Arial" w:cs="Arial"/>
          <w:color w:val="000000"/>
          <w:sz w:val="24"/>
          <w:szCs w:val="24"/>
        </w:rPr>
        <w:t>o that it can be published to potential Buyers; and</w:t>
      </w:r>
    </w:p>
    <w:p w14:paraId="2B0F964C" w14:textId="77777777" w:rsidR="00E15A40" w:rsidRDefault="00F856DA">
      <w:pPr>
        <w:rPr>
          <w:rFonts w:ascii="Arial" w:eastAsia="Arial" w:hAnsi="Arial" w:cs="Arial"/>
          <w:sz w:val="24"/>
          <w:szCs w:val="24"/>
        </w:rPr>
      </w:pPr>
      <w:r>
        <w:br w:type="page"/>
      </w:r>
    </w:p>
    <w:p w14:paraId="10059C95" w14:textId="77777777" w:rsidR="00E15A40" w:rsidRDefault="00E15A40">
      <w:pPr>
        <w:pBdr>
          <w:top w:val="nil"/>
          <w:left w:val="nil"/>
          <w:bottom w:val="nil"/>
          <w:right w:val="nil"/>
          <w:between w:val="nil"/>
        </w:pBdr>
        <w:tabs>
          <w:tab w:val="left" w:pos="1985"/>
          <w:tab w:val="left" w:pos="1985"/>
          <w:tab w:val="left" w:pos="2552"/>
        </w:tabs>
        <w:spacing w:before="120" w:after="120" w:line="240" w:lineRule="auto"/>
        <w:ind w:left="2847" w:hanging="720"/>
        <w:rPr>
          <w:rFonts w:ascii="Arial" w:eastAsia="Arial" w:hAnsi="Arial" w:cs="Arial"/>
          <w:color w:val="000000"/>
          <w:sz w:val="24"/>
          <w:szCs w:val="24"/>
        </w:rPr>
      </w:pPr>
    </w:p>
    <w:p w14:paraId="4254B1BB"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14:paraId="46333637"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w:t>
      </w:r>
      <w:r>
        <w:rPr>
          <w:rFonts w:ascii="Arial" w:eastAsia="Arial" w:hAnsi="Arial" w:cs="Arial"/>
          <w:color w:val="000000"/>
          <w:sz w:val="24"/>
          <w:szCs w:val="24"/>
        </w:rPr>
        <w:t>ecurity) - the Supplier shall:</w:t>
      </w:r>
    </w:p>
    <w:p w14:paraId="35B3A94F"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4873008F"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14:paraId="7EE94503" w14:textId="77777777" w:rsidR="00E15A40" w:rsidRDefault="00F856DA">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w:t>
      </w:r>
      <w:r>
        <w:rPr>
          <w:rFonts w:ascii="Arial" w:eastAsia="Arial" w:hAnsi="Arial" w:cs="Arial"/>
          <w:color w:val="000000"/>
          <w:sz w:val="24"/>
          <w:szCs w:val="24"/>
        </w:rPr>
        <w:t>lier:</w:t>
      </w:r>
    </w:p>
    <w:p w14:paraId="560986D7" w14:textId="77777777" w:rsidR="00E15A40" w:rsidRDefault="00F856DA">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Contract and the Supplier recognises that CCS may want to co-ordinate how benchmarking is conducted across multiple Call Off Contracts;</w:t>
      </w:r>
    </w:p>
    <w:p w14:paraId="4686BE99"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w:t>
      </w:r>
      <w:r>
        <w:rPr>
          <w:rFonts w:ascii="Arial" w:eastAsia="Arial" w:hAnsi="Arial" w:cs="Arial"/>
          <w:color w:val="000000"/>
          <w:sz w:val="24"/>
          <w:szCs w:val="24"/>
        </w:rPr>
        <w:t>ted as agent by Buyers in respect of benchmarking, co-operate with CCS in order to operate the benchmarking as efficiently as possible;</w:t>
      </w:r>
    </w:p>
    <w:p w14:paraId="3A4ABAEA" w14:textId="77777777" w:rsidR="00E15A40" w:rsidRDefault="00F856DA">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sectPr w:rsidR="00E15A4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14:paraId="5FF179D9" w14:textId="77777777" w:rsidR="00E15A40" w:rsidRDefault="00E15A40">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E15A4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5CED" w14:textId="77777777" w:rsidR="00F856DA" w:rsidRDefault="00F856DA">
      <w:pPr>
        <w:spacing w:after="0" w:line="240" w:lineRule="auto"/>
      </w:pPr>
      <w:r>
        <w:separator/>
      </w:r>
    </w:p>
  </w:endnote>
  <w:endnote w:type="continuationSeparator" w:id="0">
    <w:p w14:paraId="490693B2" w14:textId="77777777" w:rsidR="00F856DA" w:rsidRDefault="00F85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EC00" w14:textId="77777777" w:rsidR="00E15A40" w:rsidRDefault="00F856D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14:paraId="060A84D6"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169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96A822" w14:textId="77777777" w:rsidR="00E15A40" w:rsidRDefault="00F856DA">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6F72E" w14:textId="77777777" w:rsidR="00E15A40" w:rsidRDefault="00F856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r>
      <w:rPr>
        <w:rFonts w:ascii="Arial" w:eastAsia="Arial" w:hAnsi="Arial" w:cs="Arial"/>
        <w:sz w:val="20"/>
        <w:szCs w:val="20"/>
      </w:rPr>
      <w:t xml:space="preserve">                                           </w:t>
    </w:r>
  </w:p>
  <w:p w14:paraId="68A57BA5"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F856446" w14:textId="77777777" w:rsidR="00E15A40" w:rsidRDefault="00F856DA">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B8D8" w14:textId="77777777" w:rsidR="00F856DA" w:rsidRDefault="00F856DA">
      <w:pPr>
        <w:spacing w:after="0" w:line="240" w:lineRule="auto"/>
      </w:pPr>
      <w:r>
        <w:separator/>
      </w:r>
    </w:p>
  </w:footnote>
  <w:footnote w:type="continuationSeparator" w:id="0">
    <w:p w14:paraId="0FCD9355" w14:textId="77777777" w:rsidR="00F856DA" w:rsidRDefault="00F85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5731"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5F0AACDE"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02C5"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F032B77" w14:textId="77777777" w:rsidR="00E15A40" w:rsidRDefault="00F856D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664FC"/>
    <w:multiLevelType w:val="multilevel"/>
    <w:tmpl w:val="E794C2D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AEF4CB9"/>
    <w:multiLevelType w:val="multilevel"/>
    <w:tmpl w:val="57EEB07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A40"/>
    <w:rsid w:val="004A1692"/>
    <w:rsid w:val="00E15A40"/>
    <w:rsid w:val="00F85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659EC"/>
  <w15:docId w15:val="{B2FA2708-5DD2-473D-B3BE-C30DC2D9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us//pIH2IqaFMafroAkbuV0vJQ==">CgMxLjAyCGguZ2pkZ3hzMgloLjMwajB6bGwyCWguMWZvYjl0ZTIJaC4zem55c2g3MgloLjJldDkycDAyCGgudHlqY3d0MgloLjNkeTZ2a20yCWguMXQzaDVzZjIJaC40ZDM0b2c4OABqSwo1c3VnZ2VzdElkSW1wb3J0N2FmYjFjYzEtMjM1MS00NmE1LWFlYjItNzM5Mzk2OTVhOTk5XzESElZpY3RvcmlhIElyZW1vbmdlcmpLCjVzdWdnZXN0SWRJbXBvcnQ3YWZiMWNjMS0yMzUxLTQ2YTUtYWViMi03MzkzOTY5NWE5OTlfMhISVmljdG9yaWEgSXJlbW9uZ2VyciExNm9LcmJOLS1iV0xDX3ZsMUx3NHRhc2hsVjZrUUtnX3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2348</Words>
  <Characters>13386</Characters>
  <Application>Microsoft Office Word</Application>
  <DocSecurity>0</DocSecurity>
  <Lines>111</Lines>
  <Paragraphs>31</Paragraphs>
  <ScaleCrop>false</ScaleCrop>
  <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Stephen Eamer</cp:lastModifiedBy>
  <cp:revision>1</cp:revision>
  <dcterms:created xsi:type="dcterms:W3CDTF">2024-02-14T08:36:00Z</dcterms:created>
  <dcterms:modified xsi:type="dcterms:W3CDTF">2025-11-26T11:39:00Z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